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A5" w:rsidRPr="00180EF1" w:rsidRDefault="00B77DA5" w:rsidP="00180EF1">
      <w:pPr>
        <w:rPr>
          <w:sz w:val="28"/>
          <w:szCs w:val="28"/>
        </w:rPr>
      </w:pPr>
      <w:r w:rsidRPr="00180EF1">
        <w:rPr>
          <w:sz w:val="28"/>
          <w:szCs w:val="28"/>
        </w:rPr>
        <w:t>Förslag på ändring av stadgar:</w:t>
      </w:r>
    </w:p>
    <w:p w:rsidR="00B77DA5" w:rsidRDefault="00B77DA5" w:rsidP="00180E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9"/>
        <w:gridCol w:w="4533"/>
      </w:tblGrid>
      <w:tr w:rsidR="00B77DA5" w:rsidRPr="00087C2F" w:rsidTr="00087C2F">
        <w:tc>
          <w:tcPr>
            <w:tcW w:w="4529" w:type="dxa"/>
          </w:tcPr>
          <w:p w:rsidR="00B77DA5" w:rsidRPr="00087C2F" w:rsidRDefault="00B77DA5" w:rsidP="00087C2F">
            <w:pPr>
              <w:spacing w:after="0" w:line="260" w:lineRule="atLeast"/>
              <w:rPr>
                <w:rFonts w:ascii="Times New Roman" w:hAnsi="Times New Roman"/>
                <w:b/>
              </w:rPr>
            </w:pPr>
            <w:r w:rsidRPr="00087C2F">
              <w:rPr>
                <w:rFonts w:ascii="Times New Roman" w:hAnsi="Times New Roman"/>
                <w:b/>
              </w:rPr>
              <w:t>Tidigare lydelse</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r w:rsidRPr="00087C2F">
              <w:rPr>
                <w:rFonts w:ascii="Times New Roman" w:hAnsi="Times New Roman"/>
              </w:rPr>
              <w:t xml:space="preserve">Borttagen/ändrad text är markerad. </w:t>
            </w:r>
          </w:p>
          <w:p w:rsidR="00B77DA5" w:rsidRPr="00087C2F" w:rsidRDefault="00B77DA5" w:rsidP="00087C2F">
            <w:pPr>
              <w:spacing w:after="0" w:line="260" w:lineRule="atLeast"/>
              <w:rPr>
                <w:rFonts w:ascii="Times New Roman" w:hAnsi="Times New Roman"/>
              </w:rPr>
            </w:pPr>
            <w:r w:rsidRPr="00087C2F">
              <w:rPr>
                <w:rFonts w:ascii="Times New Roman" w:hAnsi="Times New Roman"/>
              </w:rPr>
              <w:t xml:space="preserve"> </w:t>
            </w:r>
          </w:p>
        </w:tc>
        <w:tc>
          <w:tcPr>
            <w:tcW w:w="4533" w:type="dxa"/>
          </w:tcPr>
          <w:p w:rsidR="00B77DA5" w:rsidRPr="00087C2F" w:rsidRDefault="00B77DA5" w:rsidP="00087C2F">
            <w:pPr>
              <w:spacing w:after="0" w:line="260" w:lineRule="atLeast"/>
              <w:rPr>
                <w:rFonts w:ascii="Times New Roman" w:hAnsi="Times New Roman"/>
                <w:b/>
              </w:rPr>
            </w:pPr>
            <w:r w:rsidRPr="00087C2F">
              <w:rPr>
                <w:rFonts w:ascii="Times New Roman" w:hAnsi="Times New Roman"/>
                <w:b/>
              </w:rPr>
              <w:t>Ny lydelse</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r w:rsidRPr="00087C2F">
              <w:rPr>
                <w:rFonts w:ascii="Times New Roman" w:hAnsi="Times New Roman"/>
              </w:rPr>
              <w:t xml:space="preserve">Tillagd/ändrad text är markerad. </w:t>
            </w:r>
          </w:p>
          <w:p w:rsidR="00B77DA5" w:rsidRPr="00087C2F" w:rsidRDefault="00B77DA5" w:rsidP="00087C2F">
            <w:pPr>
              <w:spacing w:after="0" w:line="260" w:lineRule="atLeast"/>
              <w:rPr>
                <w:rFonts w:ascii="Times New Roman" w:hAnsi="Times New Roman"/>
              </w:rPr>
            </w:pPr>
          </w:p>
        </w:tc>
        <w:bookmarkStart w:id="0" w:name="_GoBack"/>
        <w:bookmarkEnd w:id="0"/>
      </w:tr>
      <w:tr w:rsidR="00B77DA5" w:rsidRPr="00087C2F" w:rsidTr="00087C2F">
        <w:tc>
          <w:tcPr>
            <w:tcW w:w="4529" w:type="dxa"/>
          </w:tcPr>
          <w:p w:rsidR="00B77DA5" w:rsidRPr="00087C2F" w:rsidRDefault="00B77DA5" w:rsidP="00087C2F">
            <w:pPr>
              <w:spacing w:after="0" w:line="260" w:lineRule="atLeast"/>
              <w:rPr>
                <w:rFonts w:ascii="Times New Roman" w:hAnsi="Times New Roman"/>
              </w:rPr>
            </w:pPr>
            <w:bookmarkStart w:id="1" w:name="_Toc246048836"/>
            <w:bookmarkStart w:id="2" w:name="_Toc246130718"/>
            <w:bookmarkStart w:id="3" w:name="_Toc246131103"/>
            <w:bookmarkStart w:id="4" w:name="_Toc247966255"/>
            <w:r w:rsidRPr="00087C2F">
              <w:rPr>
                <w:rFonts w:ascii="Times New Roman" w:hAnsi="Times New Roman"/>
              </w:rPr>
              <w:t xml:space="preserve">§ </w:t>
            </w:r>
            <w:bookmarkEnd w:id="1"/>
            <w:bookmarkEnd w:id="2"/>
            <w:bookmarkEnd w:id="3"/>
            <w:bookmarkEnd w:id="4"/>
            <w:r w:rsidRPr="00087C2F">
              <w:rPr>
                <w:rFonts w:ascii="Times New Roman" w:hAnsi="Times New Roman"/>
              </w:rPr>
              <w:t>8</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40" w:lineRule="auto"/>
            </w:pPr>
            <w:r w:rsidRPr="00087C2F">
              <w:t xml:space="preserve">Styrelseledamöter och styrelsesuppleanter väljs årligen för tiden fram till slutet av nästa ordinarie föreningsstämma. </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tc>
        <w:tc>
          <w:tcPr>
            <w:tcW w:w="4533" w:type="dxa"/>
          </w:tcPr>
          <w:p w:rsidR="00B77DA5" w:rsidRPr="00087C2F" w:rsidRDefault="00B77DA5" w:rsidP="00087C2F">
            <w:pPr>
              <w:spacing w:after="0" w:line="260" w:lineRule="atLeast"/>
              <w:rPr>
                <w:rFonts w:ascii="Times New Roman" w:hAnsi="Times New Roman"/>
              </w:rPr>
            </w:pPr>
            <w:r w:rsidRPr="00087C2F">
              <w:rPr>
                <w:rFonts w:ascii="Times New Roman" w:hAnsi="Times New Roman"/>
              </w:rPr>
              <w:t>§ 8</w:t>
            </w:r>
          </w:p>
          <w:p w:rsidR="00B77DA5" w:rsidRPr="00087C2F" w:rsidRDefault="00B77DA5" w:rsidP="00087C2F">
            <w:pPr>
              <w:spacing w:after="0" w:line="260" w:lineRule="atLeast"/>
              <w:rPr>
                <w:rFonts w:ascii="Times New Roman" w:hAnsi="Times New Roman"/>
              </w:rPr>
            </w:pPr>
          </w:p>
          <w:p w:rsidR="00B77DA5" w:rsidRPr="00087C2F" w:rsidRDefault="00B77DA5" w:rsidP="00087C2F">
            <w:pPr>
              <w:numPr>
                <w:ilvl w:val="1"/>
                <w:numId w:val="0"/>
              </w:numPr>
              <w:spacing w:after="0" w:line="240" w:lineRule="auto"/>
              <w:rPr>
                <w:color w:val="5A5A5A"/>
                <w:spacing w:val="15"/>
              </w:rPr>
            </w:pPr>
            <w:r w:rsidRPr="00087C2F">
              <w:rPr>
                <w:color w:val="5A5A5A"/>
                <w:spacing w:val="15"/>
              </w:rPr>
              <w:t>Mandatperiod</w:t>
            </w:r>
          </w:p>
          <w:p w:rsidR="00B77DA5" w:rsidRPr="00087C2F" w:rsidRDefault="00B77DA5" w:rsidP="00087C2F">
            <w:pPr>
              <w:spacing w:after="0" w:line="240" w:lineRule="auto"/>
            </w:pPr>
            <w:r w:rsidRPr="00087C2F">
              <w:t>Styrelseledamöter och suppleanter väljs för en period av högst två (2) år. Styrelseledamot och suppleant kan omväljas. Om en helt ny styrelse väljs på föreningsstämma ska mandattiden för hälften, eller vid udda tal närmast högre antal, vara ett år.</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tc>
      </w:tr>
      <w:tr w:rsidR="00B77DA5" w:rsidRPr="00087C2F" w:rsidTr="00087C2F">
        <w:tc>
          <w:tcPr>
            <w:tcW w:w="4529" w:type="dxa"/>
          </w:tcPr>
          <w:p w:rsidR="00B77DA5" w:rsidRPr="00087C2F" w:rsidRDefault="00B77DA5" w:rsidP="00087C2F">
            <w:pPr>
              <w:spacing w:after="0" w:line="260" w:lineRule="atLeast"/>
              <w:rPr>
                <w:rFonts w:ascii="Times New Roman" w:hAnsi="Times New Roman"/>
              </w:rPr>
            </w:pPr>
            <w:bookmarkStart w:id="5" w:name="_Toc246048837"/>
            <w:bookmarkStart w:id="6" w:name="_Toc246130719"/>
            <w:bookmarkStart w:id="7" w:name="_Toc246131104"/>
            <w:bookmarkStart w:id="8" w:name="_Toc247966256"/>
            <w:r w:rsidRPr="00087C2F">
              <w:rPr>
                <w:rFonts w:ascii="Times New Roman" w:hAnsi="Times New Roman"/>
              </w:rPr>
              <w:t xml:space="preserve">§ </w:t>
            </w:r>
            <w:bookmarkEnd w:id="5"/>
            <w:bookmarkEnd w:id="6"/>
            <w:bookmarkEnd w:id="7"/>
            <w:bookmarkEnd w:id="8"/>
            <w:r w:rsidRPr="00087C2F">
              <w:rPr>
                <w:rFonts w:ascii="Times New Roman" w:hAnsi="Times New Roman"/>
              </w:rPr>
              <w:t>11 Övriga avgifter</w:t>
            </w:r>
          </w:p>
          <w:p w:rsidR="00B77DA5" w:rsidRPr="00087C2F" w:rsidRDefault="00B77DA5" w:rsidP="00087C2F">
            <w:pPr>
              <w:pBdr>
                <w:left w:val="dashed" w:sz="4" w:space="4" w:color="ED7D31"/>
              </w:pBdr>
              <w:spacing w:after="0" w:line="260" w:lineRule="atLeast"/>
              <w:rPr>
                <w:rFonts w:ascii="Times New Roman" w:hAnsi="Times New Roman"/>
              </w:rPr>
            </w:pPr>
          </w:p>
          <w:p w:rsidR="00B77DA5" w:rsidRPr="00087C2F" w:rsidRDefault="00B77DA5" w:rsidP="00087C2F">
            <w:pPr>
              <w:pBdr>
                <w:left w:val="dashed" w:sz="4" w:space="4" w:color="ED7D31"/>
              </w:pBdr>
              <w:spacing w:after="0" w:line="260" w:lineRule="atLeast"/>
              <w:rPr>
                <w:rFonts w:ascii="Calibri Light" w:hAnsi="Calibri Light"/>
              </w:rPr>
            </w:pPr>
            <w:r w:rsidRPr="00087C2F">
              <w:rPr>
                <w:rFonts w:ascii="Calibri Light" w:hAnsi="Calibri Light"/>
              </w:rPr>
              <w:t>Finns inte med i tidigare stadgar</w:t>
            </w: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p w:rsidR="00B77DA5" w:rsidRPr="00087C2F" w:rsidRDefault="00B77DA5" w:rsidP="00087C2F">
            <w:pPr>
              <w:pBdr>
                <w:left w:val="dashed" w:sz="4" w:space="4" w:color="ED7D31"/>
              </w:pBdr>
              <w:spacing w:after="0" w:line="260" w:lineRule="atLeast"/>
              <w:rPr>
                <w:rFonts w:ascii="Calibri Light" w:hAnsi="Calibri Light"/>
              </w:rPr>
            </w:pPr>
          </w:p>
        </w:tc>
        <w:tc>
          <w:tcPr>
            <w:tcW w:w="4533" w:type="dxa"/>
          </w:tcPr>
          <w:p w:rsidR="00B77DA5" w:rsidRPr="00087C2F" w:rsidRDefault="00B77DA5" w:rsidP="00087C2F">
            <w:pPr>
              <w:spacing w:after="0" w:line="260" w:lineRule="atLeast"/>
              <w:rPr>
                <w:rFonts w:ascii="Times New Roman" w:hAnsi="Times New Roman"/>
              </w:rPr>
            </w:pPr>
            <w:r w:rsidRPr="00087C2F">
              <w:rPr>
                <w:rFonts w:ascii="Times New Roman" w:hAnsi="Times New Roman"/>
              </w:rPr>
              <w:t>§ 11 Övriga avgifter</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40" w:lineRule="auto"/>
              <w:rPr>
                <w:rFonts w:ascii="Times New Roman" w:hAnsi="Times New Roman"/>
              </w:rPr>
            </w:pPr>
            <w:r w:rsidRPr="00087C2F">
              <w:t>Om inte styrelsen beslutat annat äger föreningen rätt att vid upplåtelse av bostadsrätten i andra hand ta ut en avgift som ska betalas av bostadsrättshavaren. Avgiften per år uppgår till ett belopp motsvarande tio (10) procent av gällande prisbasbelopp för året lägenheten är upplåten i andra hand. Om lägenheten upplåts under del av år beräknas avgiften efter det antal kalendermånader som lägenheten är upplåten.</w:t>
            </w:r>
          </w:p>
        </w:tc>
      </w:tr>
    </w:tbl>
    <w:p w:rsidR="00B77DA5" w:rsidRDefault="00B77DA5" w:rsidP="00180E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9"/>
        <w:gridCol w:w="4533"/>
      </w:tblGrid>
      <w:tr w:rsidR="00B77DA5" w:rsidRPr="00087C2F" w:rsidTr="00087C2F">
        <w:tc>
          <w:tcPr>
            <w:tcW w:w="4529" w:type="dxa"/>
          </w:tcPr>
          <w:p w:rsidR="00B77DA5" w:rsidRPr="00087C2F" w:rsidRDefault="00B77DA5" w:rsidP="00087C2F">
            <w:pPr>
              <w:spacing w:after="0" w:line="260" w:lineRule="atLeast"/>
            </w:pPr>
            <w:r w:rsidRPr="00087C2F">
              <w:t>§ 14 Bostadsrättshavarens ansvar</w:t>
            </w:r>
          </w:p>
          <w:p w:rsidR="00B77DA5" w:rsidRPr="00087C2F" w:rsidRDefault="00B77DA5" w:rsidP="00087C2F">
            <w:pPr>
              <w:spacing w:after="0" w:line="260" w:lineRule="atLeast"/>
            </w:pPr>
          </w:p>
          <w:p w:rsidR="00B77DA5" w:rsidRPr="00087C2F" w:rsidRDefault="00B77DA5" w:rsidP="00087C2F">
            <w:pPr>
              <w:spacing w:after="0" w:line="240" w:lineRule="auto"/>
            </w:pPr>
            <w:r w:rsidRPr="00087C2F">
              <w:t xml:space="preserve">Till det inre räknas: </w:t>
            </w:r>
          </w:p>
          <w:p w:rsidR="00B77DA5" w:rsidRPr="00087C2F" w:rsidRDefault="00B77DA5" w:rsidP="00087C2F">
            <w:pPr>
              <w:numPr>
                <w:ilvl w:val="0"/>
                <w:numId w:val="1"/>
              </w:numPr>
              <w:spacing w:after="0" w:line="240" w:lineRule="auto"/>
            </w:pPr>
            <w:r w:rsidRPr="00087C2F">
              <w:t xml:space="preserve">rummens väggar, golv och tak </w:t>
            </w:r>
          </w:p>
          <w:p w:rsidR="00B77DA5" w:rsidRPr="00087C2F" w:rsidRDefault="00B77DA5" w:rsidP="00087C2F">
            <w:pPr>
              <w:numPr>
                <w:ilvl w:val="0"/>
                <w:numId w:val="1"/>
              </w:numPr>
              <w:spacing w:after="0" w:line="260" w:lineRule="atLeast"/>
            </w:pPr>
            <w:r w:rsidRPr="00087C2F">
              <w:t xml:space="preserve">inredning i kök, badrum och övriga utrymmen som hör till lägenheten </w:t>
            </w:r>
          </w:p>
          <w:p w:rsidR="00B77DA5" w:rsidRPr="00087C2F" w:rsidRDefault="00B77DA5" w:rsidP="00087C2F">
            <w:pPr>
              <w:numPr>
                <w:ilvl w:val="0"/>
                <w:numId w:val="1"/>
              </w:numPr>
              <w:spacing w:after="0" w:line="260" w:lineRule="atLeast"/>
            </w:pPr>
            <w:r w:rsidRPr="00087C2F">
              <w:t xml:space="preserve">glas i fönster och dörrar </w:t>
            </w:r>
          </w:p>
          <w:p w:rsidR="00B77DA5" w:rsidRPr="00087C2F" w:rsidRDefault="00B77DA5" w:rsidP="00087C2F">
            <w:pPr>
              <w:numPr>
                <w:ilvl w:val="0"/>
                <w:numId w:val="1"/>
              </w:numPr>
              <w:spacing w:after="0" w:line="260" w:lineRule="atLeast"/>
            </w:pPr>
            <w:r w:rsidRPr="00087C2F">
              <w:t xml:space="preserve">lägenhetens ytter- och innerdörrar. </w:t>
            </w:r>
          </w:p>
          <w:p w:rsidR="00B77DA5" w:rsidRPr="00087C2F" w:rsidRDefault="00B77DA5" w:rsidP="00087C2F">
            <w:pPr>
              <w:spacing w:after="0" w:line="260" w:lineRule="atLeast"/>
              <w:rPr>
                <w:rFonts w:ascii="Times New Roman" w:hAnsi="Times New Roman"/>
              </w:rPr>
            </w:pPr>
          </w:p>
          <w:p w:rsidR="00B77DA5" w:rsidRPr="00087C2F" w:rsidRDefault="00B77DA5" w:rsidP="00087C2F">
            <w:pPr>
              <w:spacing w:after="0" w:line="260" w:lineRule="atLeast"/>
              <w:rPr>
                <w:rFonts w:ascii="Times New Roman" w:hAnsi="Times New Roman"/>
              </w:rPr>
            </w:pPr>
          </w:p>
        </w:tc>
        <w:tc>
          <w:tcPr>
            <w:tcW w:w="4533" w:type="dxa"/>
          </w:tcPr>
          <w:p w:rsidR="00B77DA5" w:rsidRPr="00087C2F" w:rsidRDefault="00B77DA5" w:rsidP="00087C2F">
            <w:pPr>
              <w:spacing w:after="0" w:line="240" w:lineRule="auto"/>
            </w:pPr>
            <w:r w:rsidRPr="00087C2F">
              <w:t>§ 14 Bostadsrättshavarens ansvar</w:t>
            </w:r>
          </w:p>
          <w:p w:rsidR="00B77DA5" w:rsidRPr="00087C2F" w:rsidRDefault="00B77DA5" w:rsidP="00087C2F">
            <w:pPr>
              <w:spacing w:after="0" w:line="240" w:lineRule="auto"/>
            </w:pPr>
            <w:r w:rsidRPr="00087C2F">
              <w:t>Bostadsrättshavarens ansvar för lägenheten omfattar bl a:</w:t>
            </w:r>
          </w:p>
          <w:p w:rsidR="00B77DA5" w:rsidRPr="00087C2F" w:rsidRDefault="00B77DA5" w:rsidP="00087C2F">
            <w:pPr>
              <w:numPr>
                <w:ilvl w:val="0"/>
                <w:numId w:val="2"/>
              </w:numPr>
              <w:spacing w:after="0" w:line="260" w:lineRule="atLeast"/>
            </w:pPr>
            <w:r w:rsidRPr="00087C2F">
              <w:t>inredning och utrustning i kök, badrum och övriga utrymmen tillhörande lägenheten,</w:t>
            </w:r>
          </w:p>
          <w:p w:rsidR="00B77DA5" w:rsidRPr="00087C2F" w:rsidRDefault="00B77DA5" w:rsidP="00087C2F">
            <w:pPr>
              <w:numPr>
                <w:ilvl w:val="0"/>
                <w:numId w:val="2"/>
              </w:numPr>
              <w:spacing w:after="0" w:line="260" w:lineRule="atLeast"/>
            </w:pPr>
            <w:r w:rsidRPr="00087C2F">
              <w:t>ytskikten samt underliggande skikt som krävs för att anbringa ytbeläggningen på ett fackmannamässigt sätt på rummens väggar, golv och tak samt undertak, informationsöverföring som endast tjänar bostadsrättshavarens lägenhet, till de delar dessa är synliga i lägenheten</w:t>
            </w:r>
          </w:p>
          <w:p w:rsidR="00B77DA5" w:rsidRPr="00087C2F" w:rsidRDefault="00B77DA5" w:rsidP="00087C2F">
            <w:pPr>
              <w:numPr>
                <w:ilvl w:val="0"/>
                <w:numId w:val="2"/>
              </w:numPr>
              <w:spacing w:after="0" w:line="260" w:lineRule="atLeast"/>
            </w:pPr>
            <w:r w:rsidRPr="00087C2F">
              <w:t>säkringsskåp, strömbrytare, eluttag, armaturer samt anordningar för informationsöverföring som endast tjänar bostadsrättshavarens lägenhet, till de delar dessa är synliga i lägenheten</w:t>
            </w:r>
          </w:p>
          <w:p w:rsidR="00B77DA5" w:rsidRPr="00087C2F" w:rsidRDefault="00B77DA5" w:rsidP="00087C2F">
            <w:pPr>
              <w:numPr>
                <w:ilvl w:val="0"/>
                <w:numId w:val="2"/>
              </w:numPr>
              <w:spacing w:after="0" w:line="260" w:lineRule="atLeast"/>
            </w:pPr>
            <w:r w:rsidRPr="00087C2F">
              <w:t>radiatorer (beträffande vattenfyllda radiatorer svarar bostadsrättshavaren endast för målning)</w:t>
            </w:r>
          </w:p>
          <w:p w:rsidR="00B77DA5" w:rsidRPr="00087C2F" w:rsidRDefault="00B77DA5" w:rsidP="00087C2F">
            <w:pPr>
              <w:numPr>
                <w:ilvl w:val="0"/>
                <w:numId w:val="2"/>
              </w:numPr>
              <w:spacing w:after="0" w:line="260" w:lineRule="atLeast"/>
            </w:pPr>
            <w:r w:rsidRPr="00087C2F">
              <w:t>brandvarnare</w:t>
            </w:r>
          </w:p>
          <w:p w:rsidR="00B77DA5" w:rsidRPr="00087C2F" w:rsidRDefault="00B77DA5" w:rsidP="00087C2F">
            <w:pPr>
              <w:numPr>
                <w:ilvl w:val="0"/>
                <w:numId w:val="2"/>
              </w:numPr>
              <w:spacing w:after="0" w:line="260" w:lineRule="atLeast"/>
            </w:pPr>
            <w:r w:rsidRPr="00087C2F">
              <w:t>eldstäder</w:t>
            </w:r>
          </w:p>
          <w:p w:rsidR="00B77DA5" w:rsidRPr="00087C2F" w:rsidRDefault="00B77DA5" w:rsidP="00087C2F">
            <w:pPr>
              <w:numPr>
                <w:ilvl w:val="0"/>
                <w:numId w:val="2"/>
              </w:numPr>
              <w:spacing w:after="0" w:line="260" w:lineRule="atLeast"/>
            </w:pPr>
            <w:r w:rsidRPr="00087C2F">
              <w:t>lägenhetens innerdörrar med tillhörande karmar och säkerhetsgrindar</w:t>
            </w:r>
          </w:p>
          <w:p w:rsidR="00B77DA5" w:rsidRPr="00087C2F" w:rsidRDefault="00B77DA5" w:rsidP="00087C2F">
            <w:pPr>
              <w:numPr>
                <w:ilvl w:val="0"/>
                <w:numId w:val="2"/>
              </w:numPr>
              <w:spacing w:after="0" w:line="260" w:lineRule="atLeast"/>
            </w:pPr>
            <w:r w:rsidRPr="00087C2F">
              <w:t>lister, foder, socklar och stuckaturer</w:t>
            </w:r>
          </w:p>
          <w:p w:rsidR="00B77DA5" w:rsidRPr="00087C2F" w:rsidRDefault="00B77DA5" w:rsidP="00087C2F">
            <w:pPr>
              <w:numPr>
                <w:ilvl w:val="0"/>
                <w:numId w:val="2"/>
              </w:numPr>
              <w:spacing w:after="0" w:line="260" w:lineRule="atLeast"/>
            </w:pPr>
            <w:r w:rsidRPr="00087C2F">
              <w:t>glas i fönster, dörrar, inglasningspartier och markiser</w:t>
            </w:r>
          </w:p>
          <w:p w:rsidR="00B77DA5" w:rsidRPr="00087C2F" w:rsidRDefault="00B77DA5" w:rsidP="00087C2F">
            <w:pPr>
              <w:numPr>
                <w:ilvl w:val="0"/>
                <w:numId w:val="2"/>
              </w:numPr>
              <w:spacing w:after="0" w:line="260" w:lineRule="atLeast"/>
            </w:pPr>
            <w:r w:rsidRPr="00087C2F">
              <w:t>till dörrar, fönster, inglasningspartier och markiser hörande beslag, handtag, låsanordningar, ringklocka, vädringsfilter och tätningslister</w:t>
            </w:r>
          </w:p>
          <w:p w:rsidR="00B77DA5" w:rsidRPr="00087C2F" w:rsidRDefault="00B77DA5" w:rsidP="00087C2F">
            <w:pPr>
              <w:spacing w:after="0" w:line="240" w:lineRule="auto"/>
            </w:pPr>
          </w:p>
          <w:p w:rsidR="00B77DA5" w:rsidRPr="00087C2F" w:rsidRDefault="00B77DA5" w:rsidP="00087C2F">
            <w:pPr>
              <w:spacing w:after="0" w:line="260" w:lineRule="atLeast"/>
              <w:rPr>
                <w:rFonts w:ascii="Times New Roman" w:hAnsi="Times New Roman"/>
              </w:rPr>
            </w:pPr>
          </w:p>
        </w:tc>
      </w:tr>
      <w:tr w:rsidR="00B77DA5" w:rsidRPr="00087C2F" w:rsidTr="00087C2F">
        <w:tc>
          <w:tcPr>
            <w:tcW w:w="4529" w:type="dxa"/>
          </w:tcPr>
          <w:p w:rsidR="00B77DA5" w:rsidRPr="00087C2F" w:rsidRDefault="00B77DA5" w:rsidP="00087C2F">
            <w:pPr>
              <w:spacing w:after="0" w:line="260" w:lineRule="atLeast"/>
            </w:pPr>
            <w:r w:rsidRPr="00087C2F">
              <w:t>§ 14 Bostadsrättshavarens ansvar</w:t>
            </w:r>
          </w:p>
          <w:p w:rsidR="00B77DA5" w:rsidRPr="00087C2F" w:rsidRDefault="00B77DA5" w:rsidP="00087C2F">
            <w:pPr>
              <w:spacing w:after="0" w:line="260" w:lineRule="atLeast"/>
            </w:pPr>
          </w:p>
          <w:p w:rsidR="00B77DA5" w:rsidRPr="00087C2F" w:rsidRDefault="00B77DA5" w:rsidP="00087C2F">
            <w:pPr>
              <w:spacing w:after="0" w:line="260" w:lineRule="atLeast"/>
            </w:pPr>
            <w:r w:rsidRPr="00087C2F">
              <w:t>Bostadsrättshavaren svarar för målning av innersidor av fönstrens bågar och karmar</w:t>
            </w:r>
          </w:p>
          <w:p w:rsidR="00B77DA5" w:rsidRPr="00087C2F" w:rsidRDefault="00B77DA5" w:rsidP="00087C2F">
            <w:pPr>
              <w:spacing w:after="0" w:line="260" w:lineRule="atLeast"/>
            </w:pPr>
          </w:p>
        </w:tc>
        <w:tc>
          <w:tcPr>
            <w:tcW w:w="4533" w:type="dxa"/>
          </w:tcPr>
          <w:p w:rsidR="00B77DA5" w:rsidRPr="00087C2F" w:rsidRDefault="00B77DA5" w:rsidP="00087C2F">
            <w:pPr>
              <w:spacing w:after="0" w:line="240" w:lineRule="auto"/>
            </w:pPr>
            <w:r w:rsidRPr="00087C2F">
              <w:t>§ 14 Bostadsrättshavarens ansvar</w:t>
            </w:r>
          </w:p>
          <w:p w:rsidR="00B77DA5" w:rsidRPr="00087C2F" w:rsidRDefault="00B77DA5" w:rsidP="00087C2F">
            <w:pPr>
              <w:spacing w:after="0" w:line="240" w:lineRule="auto"/>
              <w:rPr>
                <w:rFonts w:ascii="Times New Roman" w:hAnsi="Times New Roman"/>
              </w:rPr>
            </w:pPr>
            <w:r w:rsidRPr="00087C2F">
              <w:rPr>
                <w:rFonts w:ascii="Times New Roman" w:hAnsi="Times New Roman"/>
              </w:rPr>
              <w:t>Bostadsrättshavaren svarar vidare för målning av insidan av ytter- balkong- och altandörrar, fönsterbågar, dörr- och fönsterkarmar samt inglasningspartier,</w:t>
            </w:r>
          </w:p>
          <w:p w:rsidR="00B77DA5" w:rsidRPr="00087C2F" w:rsidRDefault="00B77DA5" w:rsidP="00087C2F">
            <w:pPr>
              <w:spacing w:after="0" w:line="240" w:lineRule="auto"/>
            </w:pPr>
          </w:p>
        </w:tc>
      </w:tr>
      <w:tr w:rsidR="00B77DA5" w:rsidRPr="00087C2F" w:rsidTr="00087C2F">
        <w:tc>
          <w:tcPr>
            <w:tcW w:w="4529" w:type="dxa"/>
          </w:tcPr>
          <w:p w:rsidR="00B77DA5" w:rsidRPr="00087C2F" w:rsidRDefault="00B77DA5" w:rsidP="00087C2F">
            <w:pPr>
              <w:spacing w:after="0" w:line="260" w:lineRule="atLeast"/>
            </w:pPr>
            <w:r w:rsidRPr="00087C2F">
              <w:t>§ 14 Bostadsrättshavarens ansvar</w:t>
            </w:r>
          </w:p>
          <w:p w:rsidR="00B77DA5" w:rsidRPr="00087C2F" w:rsidRDefault="00B77DA5" w:rsidP="00087C2F">
            <w:pPr>
              <w:spacing w:after="0" w:line="260" w:lineRule="atLeast"/>
            </w:pPr>
          </w:p>
          <w:p w:rsidR="00B77DA5" w:rsidRPr="00087C2F" w:rsidRDefault="00B77DA5" w:rsidP="00087C2F">
            <w:pPr>
              <w:spacing w:after="0" w:line="260" w:lineRule="atLeast"/>
            </w:pPr>
            <w:r w:rsidRPr="00087C2F">
              <w:t>Finns inte i nuvarande stadgar</w:t>
            </w:r>
          </w:p>
          <w:p w:rsidR="00B77DA5" w:rsidRPr="00087C2F" w:rsidRDefault="00B77DA5" w:rsidP="00087C2F">
            <w:pPr>
              <w:spacing w:after="0" w:line="260" w:lineRule="atLeast"/>
            </w:pPr>
          </w:p>
        </w:tc>
        <w:tc>
          <w:tcPr>
            <w:tcW w:w="4533" w:type="dxa"/>
          </w:tcPr>
          <w:p w:rsidR="00B77DA5" w:rsidRPr="00087C2F" w:rsidRDefault="00B77DA5" w:rsidP="00087C2F">
            <w:pPr>
              <w:spacing w:after="0" w:line="240" w:lineRule="auto"/>
            </w:pPr>
            <w:r w:rsidRPr="00087C2F">
              <w:t>§ 14 Bostadsrättshavarens ansvar</w:t>
            </w:r>
          </w:p>
          <w:p w:rsidR="00B77DA5" w:rsidRPr="00087C2F" w:rsidRDefault="00B77DA5" w:rsidP="00087C2F">
            <w:pPr>
              <w:spacing w:after="0" w:line="240" w:lineRule="auto"/>
            </w:pPr>
            <w:r w:rsidRPr="00087C2F">
              <w:t>samt informationsöverföring</w:t>
            </w:r>
          </w:p>
          <w:p w:rsidR="00B77DA5" w:rsidRPr="00087C2F" w:rsidRDefault="00B77DA5" w:rsidP="00087C2F">
            <w:pPr>
              <w:spacing w:after="0" w:line="240" w:lineRule="auto"/>
            </w:pPr>
          </w:p>
        </w:tc>
      </w:tr>
    </w:tbl>
    <w:p w:rsidR="00B77DA5" w:rsidRPr="0063622E" w:rsidRDefault="00B77DA5" w:rsidP="00180EF1">
      <w:pPr>
        <w:spacing w:after="0" w:line="260" w:lineRule="atLeast"/>
        <w:rPr>
          <w:rFonts w:ascii="Times New Roman" w:hAnsi="Times New Roman"/>
        </w:rPr>
      </w:pPr>
    </w:p>
    <w:p w:rsidR="00B77DA5" w:rsidRDefault="00B77DA5" w:rsidP="00180EF1"/>
    <w:p w:rsidR="00B77DA5" w:rsidRDefault="00B77DA5"/>
    <w:sectPr w:rsidR="00B77DA5" w:rsidSect="00E647B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A5" w:rsidRDefault="00B77DA5" w:rsidP="00180EF1">
      <w:pPr>
        <w:spacing w:after="0" w:line="240" w:lineRule="auto"/>
      </w:pPr>
      <w:r>
        <w:separator/>
      </w:r>
    </w:p>
  </w:endnote>
  <w:endnote w:type="continuationSeparator" w:id="0">
    <w:p w:rsidR="00B77DA5" w:rsidRDefault="00B77DA5" w:rsidP="00180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A5" w:rsidRDefault="00B77DA5" w:rsidP="00180EF1">
      <w:pPr>
        <w:spacing w:after="0" w:line="240" w:lineRule="auto"/>
      </w:pPr>
      <w:r>
        <w:separator/>
      </w:r>
    </w:p>
  </w:footnote>
  <w:footnote w:type="continuationSeparator" w:id="0">
    <w:p w:rsidR="00B77DA5" w:rsidRDefault="00B77DA5" w:rsidP="00180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A5" w:rsidRDefault="00B77DA5" w:rsidP="00180EF1">
    <w:pPr>
      <w:pStyle w:val="Header"/>
      <w:jc w:val="right"/>
    </w:pPr>
    <w:r>
      <w:t>Bilaga 1</w:t>
    </w:r>
  </w:p>
  <w:p w:rsidR="00B77DA5" w:rsidRDefault="00B77DA5" w:rsidP="00180EF1">
    <w:pPr>
      <w:pStyle w:val="Header"/>
      <w:jc w:val="right"/>
    </w:pPr>
    <w:r>
      <w:t>Stadgeändring Brf Solskenet i Lund</w:t>
    </w:r>
  </w:p>
  <w:p w:rsidR="00B77DA5" w:rsidRDefault="00B77DA5" w:rsidP="00180EF1">
    <w:pPr>
      <w:pStyle w:val="Header"/>
      <w:jc w:val="right"/>
    </w:pPr>
    <w:r>
      <w:t xml:space="preserve">Sida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av </w:t>
    </w:r>
    <w:fldSimple w:instr="NUMPAGES  \* Arabic  \* MERGEFORMAT">
      <w:r>
        <w:rPr>
          <w:b/>
          <w:bCs/>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A7193"/>
    <w:multiLevelType w:val="hybridMultilevel"/>
    <w:tmpl w:val="AEA6C810"/>
    <w:lvl w:ilvl="0" w:tplc="A36AC36E">
      <w:start w:val="1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D8773B3"/>
    <w:multiLevelType w:val="hybridMultilevel"/>
    <w:tmpl w:val="EBC43E9C"/>
    <w:lvl w:ilvl="0" w:tplc="F1C4AC4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EF1"/>
    <w:rsid w:val="00087C2F"/>
    <w:rsid w:val="00180EF1"/>
    <w:rsid w:val="00190351"/>
    <w:rsid w:val="00215CEB"/>
    <w:rsid w:val="003F4444"/>
    <w:rsid w:val="0063622E"/>
    <w:rsid w:val="007B493F"/>
    <w:rsid w:val="009216D8"/>
    <w:rsid w:val="00B21B7A"/>
    <w:rsid w:val="00B77DA5"/>
    <w:rsid w:val="00E647B2"/>
    <w:rsid w:val="00FC0A0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F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0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0EF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80EF1"/>
    <w:rPr>
      <w:rFonts w:cs="Times New Roman"/>
    </w:rPr>
  </w:style>
  <w:style w:type="paragraph" w:styleId="Footer">
    <w:name w:val="footer"/>
    <w:basedOn w:val="Normal"/>
    <w:link w:val="FooterChar"/>
    <w:uiPriority w:val="99"/>
    <w:rsid w:val="00180EF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80E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438</Words>
  <Characters>2322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på ändring av stadgar:</dc:title>
  <dc:subject/>
  <dc:creator>Åsa Persson Bimoseto</dc:creator>
  <cp:keywords/>
  <dc:description/>
  <cp:lastModifiedBy>Surf</cp:lastModifiedBy>
  <cp:revision>2</cp:revision>
  <dcterms:created xsi:type="dcterms:W3CDTF">2015-04-19T20:19:00Z</dcterms:created>
  <dcterms:modified xsi:type="dcterms:W3CDTF">2015-04-19T20:19:00Z</dcterms:modified>
</cp:coreProperties>
</file>